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方正小标宋简体" w:eastAsia="方正小标宋简体"/>
          <w:sz w:val="36"/>
          <w:szCs w:val="36"/>
        </w:rPr>
      </w:pPr>
      <w:r>
        <w:rPr>
          <w:rFonts w:hint="eastAsia" w:ascii="方正小标宋简体" w:eastAsia="方正小标宋简体"/>
          <w:sz w:val="36"/>
          <w:szCs w:val="36"/>
        </w:rPr>
        <w:t>2018年度福建省社科规划</w:t>
      </w:r>
      <w:r>
        <w:rPr>
          <w:rFonts w:hint="eastAsia" w:ascii="方正小标宋简体" w:eastAsia="方正小标宋简体"/>
          <w:sz w:val="36"/>
          <w:szCs w:val="36"/>
          <w:lang w:eastAsia="zh-CN"/>
        </w:rPr>
        <w:t>年度项目</w:t>
      </w:r>
      <w:r>
        <w:rPr>
          <w:rFonts w:hint="eastAsia" w:ascii="方正小标宋简体" w:eastAsia="方正小标宋简体"/>
          <w:sz w:val="36"/>
          <w:szCs w:val="36"/>
        </w:rPr>
        <w:t>申报常见问题释疑</w:t>
      </w:r>
    </w:p>
    <w:p>
      <w:pPr>
        <w:spacing w:line="360" w:lineRule="auto"/>
        <w:rPr>
          <w:rFonts w:ascii="仿宋_GB2312" w:eastAsia="仿宋_GB2312"/>
          <w:sz w:val="28"/>
          <w:szCs w:val="28"/>
        </w:rPr>
      </w:pPr>
    </w:p>
    <w:p>
      <w:pPr>
        <w:spacing w:line="360" w:lineRule="auto"/>
        <w:ind w:firstLine="562" w:firstLineChars="200"/>
        <w:rPr>
          <w:rFonts w:ascii="黑体" w:hAnsi="黑体" w:eastAsia="黑体"/>
          <w:b/>
          <w:sz w:val="28"/>
          <w:szCs w:val="28"/>
        </w:rPr>
      </w:pPr>
      <w:bookmarkStart w:id="0" w:name="_一、年度项目"/>
      <w:bookmarkEnd w:id="0"/>
      <w:r>
        <w:rPr>
          <w:rFonts w:hint="eastAsia" w:ascii="黑体" w:hAnsi="黑体" w:eastAsia="黑体"/>
          <w:b/>
          <w:sz w:val="28"/>
          <w:szCs w:val="28"/>
        </w:rPr>
        <w:t>1. 年度项目有申报指南吗？</w:t>
      </w:r>
    </w:p>
    <w:p>
      <w:pPr>
        <w:spacing w:line="360" w:lineRule="auto"/>
        <w:rPr>
          <w:rFonts w:ascii="楷体" w:hAnsi="楷体" w:eastAsia="楷体"/>
          <w:sz w:val="28"/>
          <w:szCs w:val="28"/>
        </w:rPr>
      </w:pPr>
      <w:r>
        <w:rPr>
          <w:rFonts w:hint="eastAsia" w:ascii="楷体" w:hAnsi="楷体" w:eastAsia="楷体"/>
          <w:sz w:val="28"/>
          <w:szCs w:val="28"/>
        </w:rPr>
        <w:t>　　——2018年省社科年度项目</w:t>
      </w:r>
      <w:r>
        <w:rPr>
          <w:rFonts w:hint="eastAsia" w:ascii="楷体" w:hAnsi="楷体" w:eastAsia="楷体"/>
          <w:b/>
          <w:sz w:val="28"/>
          <w:szCs w:val="28"/>
        </w:rPr>
        <w:t>不设申报指南</w:t>
      </w:r>
      <w:r>
        <w:rPr>
          <w:rFonts w:hint="eastAsia" w:ascii="楷体" w:hAnsi="楷体" w:eastAsia="楷体"/>
          <w:sz w:val="28"/>
          <w:szCs w:val="28"/>
        </w:rPr>
        <w:t>，由项目申请人根据研究兴趣和学术积累，结合申报指导思想的内容自行拟定，充分发挥项目申请人的研究自主性和学术创造性。</w:t>
      </w:r>
    </w:p>
    <w:p>
      <w:pPr>
        <w:spacing w:line="360" w:lineRule="auto"/>
        <w:ind w:firstLine="562" w:firstLineChars="200"/>
        <w:rPr>
          <w:rFonts w:ascii="楷体" w:hAnsi="楷体" w:eastAsia="楷体"/>
          <w:b/>
          <w:sz w:val="28"/>
          <w:szCs w:val="28"/>
        </w:rPr>
      </w:pPr>
      <w:r>
        <w:rPr>
          <w:rFonts w:hint="eastAsia" w:ascii="楷体" w:hAnsi="楷体" w:eastAsia="楷体"/>
          <w:b/>
          <w:sz w:val="28"/>
          <w:szCs w:val="28"/>
        </w:rPr>
        <w:t>——但是自行拟定的选题不能与2018年省社科规划应用研究后期资助项目（一）的课题指南重复，否则，取消申报资格。</w:t>
      </w:r>
    </w:p>
    <w:p>
      <w:pPr>
        <w:spacing w:line="360" w:lineRule="auto"/>
        <w:ind w:firstLine="562" w:firstLineChars="200"/>
        <w:rPr>
          <w:rFonts w:ascii="黑体" w:hAnsi="黑体" w:eastAsia="黑体"/>
          <w:b/>
          <w:sz w:val="28"/>
          <w:szCs w:val="28"/>
        </w:rPr>
      </w:pPr>
      <w:r>
        <w:rPr>
          <w:rFonts w:hint="eastAsia" w:ascii="黑体" w:hAnsi="黑体" w:eastAsia="黑体"/>
          <w:b/>
          <w:sz w:val="28"/>
          <w:szCs w:val="28"/>
        </w:rPr>
        <w:t>2. 年度项目是否实行限额申报？</w:t>
      </w:r>
    </w:p>
    <w:p>
      <w:pPr>
        <w:spacing w:line="360" w:lineRule="auto"/>
        <w:ind w:firstLine="560" w:firstLineChars="200"/>
        <w:rPr>
          <w:rFonts w:ascii="楷体" w:hAnsi="楷体" w:eastAsia="楷体"/>
          <w:sz w:val="28"/>
          <w:szCs w:val="28"/>
        </w:rPr>
      </w:pPr>
      <w:r>
        <w:rPr>
          <w:rFonts w:hint="eastAsia" w:ascii="楷体" w:hAnsi="楷体" w:eastAsia="楷体"/>
          <w:sz w:val="28"/>
          <w:szCs w:val="28"/>
        </w:rPr>
        <w:t>——年度项目（不含青年项目/青年博士项目）实行限额申报。各院系（部）鼓励老师积极申报，并认真做好第一轮申报论证，申报材料提交科研处后，由科研处进行形式审核，并组织专家进行评审推荐。</w:t>
      </w:r>
    </w:p>
    <w:p>
      <w:pPr>
        <w:spacing w:line="360" w:lineRule="auto"/>
        <w:ind w:firstLine="562" w:firstLineChars="200"/>
        <w:rPr>
          <w:rFonts w:ascii="黑体" w:hAnsi="黑体" w:eastAsia="黑体"/>
          <w:b/>
          <w:sz w:val="28"/>
          <w:szCs w:val="28"/>
        </w:rPr>
      </w:pPr>
      <w:r>
        <w:rPr>
          <w:rFonts w:hint="eastAsia" w:ascii="黑体" w:hAnsi="黑体" w:eastAsia="黑体"/>
          <w:b/>
          <w:sz w:val="28"/>
          <w:szCs w:val="28"/>
        </w:rPr>
        <w:t>3. 年度项目中的基础研究和应用研究有何区别？</w:t>
      </w:r>
    </w:p>
    <w:p>
      <w:pPr>
        <w:spacing w:line="360" w:lineRule="auto"/>
        <w:ind w:firstLine="570"/>
        <w:rPr>
          <w:rFonts w:ascii="楷体" w:hAnsi="楷体" w:eastAsia="楷体"/>
          <w:b/>
          <w:sz w:val="28"/>
          <w:szCs w:val="28"/>
        </w:rPr>
      </w:pPr>
      <w:r>
        <w:rPr>
          <w:rFonts w:hint="eastAsia" w:ascii="楷体" w:hAnsi="楷体" w:eastAsia="楷体"/>
          <w:sz w:val="28"/>
          <w:szCs w:val="28"/>
        </w:rPr>
        <w:t>——年度项目中的</w:t>
      </w:r>
      <w:r>
        <w:rPr>
          <w:rFonts w:hint="eastAsia" w:ascii="楷体" w:hAnsi="楷体" w:eastAsia="楷体"/>
          <w:b/>
          <w:sz w:val="28"/>
          <w:szCs w:val="28"/>
        </w:rPr>
        <w:t>基础研究和应用研究使用不同版本的《申请书》《活页》</w:t>
      </w:r>
      <w:r>
        <w:rPr>
          <w:rFonts w:hint="eastAsia" w:ascii="楷体" w:hAnsi="楷体" w:eastAsia="楷体"/>
          <w:sz w:val="28"/>
          <w:szCs w:val="28"/>
        </w:rPr>
        <w:t>，</w:t>
      </w:r>
      <w:r>
        <w:rPr>
          <w:rFonts w:hint="eastAsia" w:ascii="楷体" w:hAnsi="楷体" w:eastAsia="楷体"/>
          <w:b/>
          <w:sz w:val="28"/>
          <w:szCs w:val="28"/>
        </w:rPr>
        <w:t>不可混用。</w:t>
      </w:r>
    </w:p>
    <w:p>
      <w:pPr>
        <w:spacing w:line="360" w:lineRule="auto"/>
        <w:ind w:firstLine="570"/>
        <w:rPr>
          <w:rFonts w:ascii="楷体" w:hAnsi="楷体" w:eastAsia="楷体"/>
          <w:sz w:val="28"/>
          <w:szCs w:val="28"/>
        </w:rPr>
      </w:pPr>
      <w:r>
        <w:rPr>
          <w:rFonts w:hint="eastAsia" w:ascii="楷体" w:hAnsi="楷体" w:eastAsia="楷体"/>
          <w:b/>
          <w:sz w:val="28"/>
          <w:szCs w:val="28"/>
        </w:rPr>
        <w:t>——</w:t>
      </w:r>
      <w:r>
        <w:rPr>
          <w:rFonts w:hint="eastAsia" w:ascii="楷体" w:hAnsi="楷体" w:eastAsia="楷体"/>
          <w:sz w:val="28"/>
          <w:szCs w:val="28"/>
        </w:rPr>
        <w:t>基础研究，最终成果只能选择专著和论文集中的一种；研究时间一般为2年。</w:t>
      </w:r>
    </w:p>
    <w:p>
      <w:pPr>
        <w:spacing w:line="360" w:lineRule="auto"/>
        <w:ind w:firstLine="570"/>
        <w:rPr>
          <w:rFonts w:ascii="楷体" w:hAnsi="楷体" w:eastAsia="楷体"/>
          <w:sz w:val="28"/>
          <w:szCs w:val="28"/>
        </w:rPr>
      </w:pPr>
      <w:r>
        <w:rPr>
          <w:rFonts w:hint="eastAsia" w:ascii="楷体" w:hAnsi="楷体" w:eastAsia="楷体"/>
          <w:sz w:val="28"/>
          <w:szCs w:val="28"/>
        </w:rPr>
        <w:t>——应用研究，因其研究的时效性和紧迫性，</w:t>
      </w:r>
      <w:r>
        <w:rPr>
          <w:rFonts w:hint="eastAsia" w:ascii="楷体" w:hAnsi="楷体" w:eastAsia="楷体"/>
          <w:b/>
          <w:sz w:val="28"/>
          <w:szCs w:val="28"/>
        </w:rPr>
        <w:t>须在1年内完成研究任务，且最终成果只能为研究报告，其核心观点或重要对策建议原则上须入选《福建省社科规划项目成果要报》才能结项</w:t>
      </w:r>
      <w:r>
        <w:rPr>
          <w:rFonts w:hint="eastAsia" w:ascii="楷体" w:hAnsi="楷体" w:eastAsia="楷体"/>
          <w:sz w:val="28"/>
          <w:szCs w:val="28"/>
        </w:rPr>
        <w:t>。</w:t>
      </w:r>
    </w:p>
    <w:p>
      <w:pPr>
        <w:spacing w:line="360" w:lineRule="auto"/>
        <w:ind w:firstLine="562" w:firstLineChars="200"/>
        <w:rPr>
          <w:rFonts w:ascii="黑体" w:hAnsi="黑体" w:eastAsia="黑体"/>
          <w:b/>
          <w:sz w:val="28"/>
          <w:szCs w:val="28"/>
        </w:rPr>
      </w:pPr>
      <w:r>
        <w:rPr>
          <w:rFonts w:hint="eastAsia" w:ascii="黑体" w:hAnsi="黑体" w:eastAsia="黑体"/>
          <w:b/>
          <w:sz w:val="28"/>
          <w:szCs w:val="28"/>
        </w:rPr>
        <w:t xml:space="preserve">4. 年度项目申请人需具备哪些条件？ </w:t>
      </w:r>
    </w:p>
    <w:p>
      <w:pPr>
        <w:spacing w:line="360" w:lineRule="auto"/>
        <w:ind w:firstLine="570"/>
        <w:rPr>
          <w:rFonts w:ascii="楷体" w:hAnsi="楷体" w:eastAsia="楷体"/>
          <w:sz w:val="28"/>
          <w:szCs w:val="28"/>
        </w:rPr>
      </w:pPr>
      <w:r>
        <w:rPr>
          <w:rFonts w:hint="eastAsia" w:ascii="楷体" w:hAnsi="楷体" w:eastAsia="楷体"/>
          <w:sz w:val="28"/>
          <w:szCs w:val="28"/>
        </w:rPr>
        <w:t>——申请重大项目的须为</w:t>
      </w:r>
      <w:r>
        <w:rPr>
          <w:rFonts w:hint="eastAsia" w:ascii="楷体" w:hAnsi="楷体" w:eastAsia="楷体"/>
          <w:b/>
          <w:sz w:val="28"/>
          <w:szCs w:val="28"/>
        </w:rPr>
        <w:t>正高级</w:t>
      </w:r>
      <w:r>
        <w:rPr>
          <w:rFonts w:hint="eastAsia" w:ascii="楷体" w:hAnsi="楷体" w:eastAsia="楷体"/>
          <w:sz w:val="28"/>
          <w:szCs w:val="28"/>
        </w:rPr>
        <w:t>。</w:t>
      </w:r>
    </w:p>
    <w:p>
      <w:pPr>
        <w:spacing w:line="360" w:lineRule="auto"/>
        <w:ind w:firstLine="570"/>
        <w:rPr>
          <w:rFonts w:ascii="楷体" w:hAnsi="楷体" w:eastAsia="楷体"/>
          <w:sz w:val="28"/>
          <w:szCs w:val="28"/>
        </w:rPr>
      </w:pPr>
      <w:r>
        <w:rPr>
          <w:rFonts w:hint="eastAsia" w:ascii="楷体" w:hAnsi="楷体" w:eastAsia="楷体"/>
          <w:sz w:val="28"/>
          <w:szCs w:val="28"/>
        </w:rPr>
        <w:t>——申请一般项目的须为</w:t>
      </w:r>
      <w:r>
        <w:rPr>
          <w:rFonts w:hint="eastAsia" w:ascii="楷体" w:hAnsi="楷体" w:eastAsia="楷体"/>
          <w:b/>
          <w:sz w:val="28"/>
          <w:szCs w:val="28"/>
        </w:rPr>
        <w:t>副高级以上（含）职称或者具备博士学位，中级专业技术职称且不具备博士学位的，须由两名具有正高级以上（含）专业技术职称的同行专家推荐。</w:t>
      </w:r>
    </w:p>
    <w:p>
      <w:pPr>
        <w:spacing w:line="360" w:lineRule="auto"/>
        <w:ind w:firstLine="570"/>
        <w:rPr>
          <w:rFonts w:ascii="楷体" w:hAnsi="楷体" w:eastAsia="楷体"/>
          <w:sz w:val="28"/>
          <w:szCs w:val="28"/>
        </w:rPr>
      </w:pPr>
      <w:r>
        <w:rPr>
          <w:rFonts w:hint="eastAsia" w:ascii="楷体" w:hAnsi="楷体" w:eastAsia="楷体"/>
          <w:sz w:val="28"/>
          <w:szCs w:val="28"/>
        </w:rPr>
        <w:t>——申请青年项目的全部成员的年龄</w:t>
      </w:r>
      <w:r>
        <w:rPr>
          <w:rFonts w:hint="eastAsia" w:ascii="楷体" w:hAnsi="楷体" w:eastAsia="楷体"/>
          <w:b/>
          <w:sz w:val="28"/>
          <w:szCs w:val="28"/>
        </w:rPr>
        <w:t>均不得超过35周岁（1983年5月1日后出生）,</w:t>
      </w:r>
      <w:r>
        <w:rPr>
          <w:rFonts w:hint="eastAsia" w:ascii="楷体" w:hAnsi="楷体" w:eastAsia="楷体"/>
          <w:sz w:val="28"/>
          <w:szCs w:val="28"/>
        </w:rPr>
        <w:t>且是具有中级专业技术职称以上（含）或博士学位的青年社科研究者。</w:t>
      </w:r>
      <w:r>
        <w:rPr>
          <w:rFonts w:hint="eastAsia" w:ascii="楷体" w:hAnsi="楷体" w:eastAsia="楷体"/>
          <w:b/>
          <w:sz w:val="28"/>
          <w:szCs w:val="28"/>
        </w:rPr>
        <w:t>对青年项目的课题组成员的职称和学位不做要求。</w:t>
      </w:r>
    </w:p>
    <w:p>
      <w:pPr>
        <w:spacing w:line="360" w:lineRule="auto"/>
        <w:ind w:firstLine="570"/>
        <w:rPr>
          <w:rFonts w:ascii="楷体" w:hAnsi="楷体" w:eastAsia="楷体"/>
          <w:sz w:val="28"/>
          <w:szCs w:val="28"/>
        </w:rPr>
      </w:pPr>
      <w:r>
        <w:rPr>
          <w:rFonts w:hint="eastAsia" w:ascii="楷体" w:hAnsi="楷体" w:eastAsia="楷体"/>
          <w:sz w:val="28"/>
          <w:szCs w:val="28"/>
        </w:rPr>
        <w:t>——申请青年博士项目的，在具备青年项目条件的同时，</w:t>
      </w:r>
      <w:r>
        <w:rPr>
          <w:rFonts w:hint="eastAsia" w:ascii="楷体" w:hAnsi="楷体" w:eastAsia="楷体"/>
          <w:b/>
          <w:sz w:val="28"/>
          <w:szCs w:val="28"/>
        </w:rPr>
        <w:t>还要求具有博士学位且无省级及以上在研项目。</w:t>
      </w:r>
    </w:p>
    <w:p>
      <w:pPr>
        <w:spacing w:line="360" w:lineRule="auto"/>
        <w:ind w:firstLine="562" w:firstLineChars="200"/>
        <w:rPr>
          <w:rFonts w:ascii="黑体" w:hAnsi="黑体" w:eastAsia="黑体"/>
          <w:b/>
          <w:sz w:val="28"/>
          <w:szCs w:val="28"/>
        </w:rPr>
      </w:pPr>
      <w:r>
        <w:rPr>
          <w:rFonts w:hint="eastAsia" w:ascii="黑体" w:hAnsi="黑体" w:eastAsia="黑体"/>
          <w:b/>
          <w:sz w:val="28"/>
          <w:szCs w:val="28"/>
        </w:rPr>
        <w:t>5.省社科规划项目成果的标注有何要求？</w:t>
      </w:r>
    </w:p>
    <w:p>
      <w:pPr>
        <w:spacing w:line="360" w:lineRule="auto"/>
        <w:ind w:firstLine="570"/>
        <w:rPr>
          <w:rFonts w:ascii="楷体" w:hAnsi="楷体" w:eastAsia="楷体"/>
          <w:sz w:val="28"/>
          <w:szCs w:val="28"/>
        </w:rPr>
      </w:pPr>
      <w:r>
        <w:rPr>
          <w:rFonts w:hint="eastAsia" w:ascii="楷体" w:hAnsi="楷体" w:eastAsia="楷体"/>
          <w:sz w:val="28"/>
          <w:szCs w:val="28"/>
        </w:rPr>
        <w:t>——省社科规划项目的研究成果在公开出版时须在显著位置注明“福建省社会科学规划项目”字样，并注明基金号，未按要求注明的不予认可。</w:t>
      </w:r>
    </w:p>
    <w:p>
      <w:pPr>
        <w:spacing w:line="360" w:lineRule="auto"/>
        <w:ind w:firstLine="562" w:firstLineChars="200"/>
        <w:rPr>
          <w:rFonts w:ascii="黑体" w:hAnsi="黑体" w:eastAsia="黑体"/>
          <w:b/>
          <w:sz w:val="28"/>
          <w:szCs w:val="28"/>
        </w:rPr>
      </w:pPr>
      <w:r>
        <w:rPr>
          <w:rFonts w:hint="eastAsia" w:ascii="黑体" w:hAnsi="黑体" w:eastAsia="黑体"/>
          <w:b/>
          <w:sz w:val="28"/>
          <w:szCs w:val="28"/>
        </w:rPr>
        <w:t>6.年度项目不得申报的情形有哪些？</w:t>
      </w:r>
    </w:p>
    <w:p>
      <w:pPr>
        <w:spacing w:line="360" w:lineRule="auto"/>
        <w:ind w:firstLine="570"/>
        <w:rPr>
          <w:rFonts w:ascii="楷体" w:hAnsi="楷体" w:eastAsia="楷体"/>
          <w:sz w:val="28"/>
          <w:szCs w:val="28"/>
        </w:rPr>
      </w:pPr>
      <w:r>
        <w:rPr>
          <w:rFonts w:hint="eastAsia" w:ascii="楷体" w:hAnsi="楷体" w:eastAsia="楷体"/>
          <w:sz w:val="28"/>
          <w:szCs w:val="28"/>
        </w:rPr>
        <w:t>——截止2018年4月12日前，国家社会科学基金项目、国家自然科学基金管理科学部项目、教育部人文社会科学研究项目和省社科规划各类项目（含省中特项目）仍然在研的项目负责人，不得申报（结项材料已上报的除外）。</w:t>
      </w:r>
    </w:p>
    <w:p>
      <w:pPr>
        <w:spacing w:line="360" w:lineRule="auto"/>
        <w:ind w:firstLine="570"/>
        <w:rPr>
          <w:rFonts w:ascii="楷体" w:hAnsi="楷体" w:eastAsia="楷体"/>
          <w:sz w:val="28"/>
          <w:szCs w:val="28"/>
        </w:rPr>
      </w:pPr>
      <w:r>
        <w:rPr>
          <w:rFonts w:hint="eastAsia" w:ascii="楷体" w:hAnsi="楷体" w:eastAsia="楷体"/>
          <w:sz w:val="28"/>
          <w:szCs w:val="28"/>
        </w:rPr>
        <w:t>——曾经承担国家、省社科基金项目，成果鉴定为不合格的（</w:t>
      </w:r>
      <w:r>
        <w:rPr>
          <w:rFonts w:hint="eastAsia" w:ascii="楷体" w:hAnsi="楷体" w:eastAsia="楷体"/>
          <w:b/>
          <w:sz w:val="28"/>
          <w:szCs w:val="28"/>
        </w:rPr>
        <w:t>指第一次鉴定为“不合格”或“暂缓结项”，第二次上报成功结项的情况</w:t>
      </w:r>
      <w:r>
        <w:rPr>
          <w:rFonts w:hint="eastAsia" w:ascii="楷体" w:hAnsi="楷体" w:eastAsia="楷体"/>
          <w:sz w:val="28"/>
          <w:szCs w:val="28"/>
        </w:rPr>
        <w:t>）、被中止或被撤项的，不得申报（自鉴定不合格、中止、撤项之日起三年内）。</w:t>
      </w:r>
    </w:p>
    <w:p>
      <w:pPr>
        <w:spacing w:line="360" w:lineRule="auto"/>
        <w:ind w:firstLine="570"/>
        <w:rPr>
          <w:rFonts w:ascii="楷体" w:hAnsi="楷体" w:eastAsia="楷体"/>
          <w:sz w:val="28"/>
          <w:szCs w:val="28"/>
        </w:rPr>
      </w:pPr>
      <w:r>
        <w:rPr>
          <w:rFonts w:hint="eastAsia" w:ascii="楷体" w:hAnsi="楷体" w:eastAsia="楷体"/>
          <w:sz w:val="28"/>
          <w:szCs w:val="28"/>
        </w:rPr>
        <w:t>——选题与2018年应用研究后期资助项目课题指南重复的，不得申报。</w:t>
      </w:r>
    </w:p>
    <w:p>
      <w:pPr>
        <w:spacing w:line="360" w:lineRule="auto"/>
        <w:ind w:firstLine="570"/>
        <w:rPr>
          <w:rFonts w:ascii="楷体" w:hAnsi="楷体" w:eastAsia="楷体"/>
          <w:sz w:val="28"/>
          <w:szCs w:val="28"/>
        </w:rPr>
      </w:pPr>
      <w:r>
        <w:rPr>
          <w:rFonts w:hint="eastAsia" w:ascii="楷体" w:hAnsi="楷体" w:eastAsia="楷体"/>
          <w:sz w:val="28"/>
          <w:szCs w:val="28"/>
        </w:rPr>
        <w:t>——2018年度申报福建省中国特色社会主义理论体系研究中心项目的项目申请人，不得申报。</w:t>
      </w:r>
    </w:p>
    <w:p>
      <w:pPr>
        <w:spacing w:line="360" w:lineRule="auto"/>
        <w:ind w:firstLine="570"/>
        <w:rPr>
          <w:rFonts w:ascii="楷体" w:hAnsi="楷体" w:eastAsia="楷体"/>
          <w:b/>
          <w:sz w:val="28"/>
          <w:szCs w:val="28"/>
        </w:rPr>
      </w:pPr>
      <w:r>
        <w:rPr>
          <w:rFonts w:hint="eastAsia" w:ascii="楷体" w:hAnsi="楷体" w:eastAsia="楷体"/>
          <w:b/>
          <w:sz w:val="28"/>
          <w:szCs w:val="28"/>
        </w:rPr>
        <w:t>——已经申报2017年度以马克思主义为指导的哲学社会科学学科基础理论研究项目的项目申请人，不得申报。</w:t>
      </w:r>
    </w:p>
    <w:p>
      <w:pPr>
        <w:spacing w:line="360" w:lineRule="auto"/>
        <w:ind w:firstLine="570"/>
        <w:rPr>
          <w:rFonts w:ascii="楷体" w:hAnsi="楷体" w:eastAsia="楷体"/>
          <w:b/>
          <w:sz w:val="28"/>
          <w:szCs w:val="28"/>
        </w:rPr>
      </w:pPr>
      <w:r>
        <w:rPr>
          <w:rFonts w:hint="eastAsia" w:ascii="楷体" w:hAnsi="楷体" w:eastAsia="楷体"/>
          <w:sz w:val="28"/>
          <w:szCs w:val="28"/>
        </w:rPr>
        <w:t>——</w:t>
      </w:r>
      <w:r>
        <w:rPr>
          <w:rFonts w:hint="eastAsia" w:ascii="楷体" w:hAnsi="楷体" w:eastAsia="楷体"/>
          <w:b/>
          <w:sz w:val="28"/>
          <w:szCs w:val="28"/>
        </w:rPr>
        <w:t>尚未获得中级专业技术职称的或不具有博士学位的，不得申报。</w:t>
      </w:r>
    </w:p>
    <w:p>
      <w:pPr>
        <w:spacing w:line="360" w:lineRule="auto"/>
        <w:ind w:firstLine="570"/>
        <w:rPr>
          <w:rFonts w:ascii="楷体" w:hAnsi="楷体" w:eastAsia="楷体"/>
          <w:sz w:val="28"/>
          <w:szCs w:val="28"/>
        </w:rPr>
      </w:pPr>
      <w:r>
        <w:rPr>
          <w:rFonts w:hint="eastAsia" w:ascii="楷体" w:hAnsi="楷体" w:eastAsia="楷体"/>
          <w:b/>
          <w:sz w:val="28"/>
          <w:szCs w:val="28"/>
        </w:rPr>
        <w:t>——全日制在读研究生不能申报，但是具备申报条件的在职博士生（博士后）可以从所在工作单位申报。</w:t>
      </w:r>
    </w:p>
    <w:p>
      <w:pPr>
        <w:spacing w:line="360" w:lineRule="auto"/>
        <w:ind w:firstLine="562" w:firstLineChars="200"/>
        <w:rPr>
          <w:rFonts w:ascii="黑体" w:hAnsi="黑体" w:eastAsia="黑体"/>
          <w:b/>
          <w:sz w:val="28"/>
          <w:szCs w:val="28"/>
        </w:rPr>
      </w:pPr>
      <w:r>
        <w:rPr>
          <w:rFonts w:hint="eastAsia" w:ascii="黑体" w:hAnsi="黑体" w:eastAsia="黑体"/>
          <w:b/>
          <w:sz w:val="28"/>
          <w:szCs w:val="28"/>
        </w:rPr>
        <w:t>7. 年度项目申请人是否可以同时作为课题组成员参加项目申报？</w:t>
      </w:r>
    </w:p>
    <w:p>
      <w:pPr>
        <w:spacing w:line="360" w:lineRule="auto"/>
        <w:ind w:firstLine="570"/>
        <w:rPr>
          <w:rFonts w:ascii="楷体" w:hAnsi="楷体" w:eastAsia="楷体"/>
          <w:sz w:val="28"/>
          <w:szCs w:val="28"/>
        </w:rPr>
      </w:pPr>
      <w:r>
        <w:rPr>
          <w:rFonts w:hint="eastAsia" w:ascii="楷体" w:hAnsi="楷体" w:eastAsia="楷体"/>
          <w:sz w:val="28"/>
          <w:szCs w:val="28"/>
        </w:rPr>
        <w:t>——</w:t>
      </w:r>
      <w:r>
        <w:rPr>
          <w:rFonts w:hint="eastAsia" w:ascii="楷体" w:hAnsi="楷体" w:eastAsia="楷体"/>
          <w:b/>
          <w:sz w:val="28"/>
          <w:szCs w:val="28"/>
        </w:rPr>
        <w:t>不能</w:t>
      </w:r>
      <w:r>
        <w:rPr>
          <w:rFonts w:hint="eastAsia" w:ascii="楷体" w:hAnsi="楷体" w:eastAsia="楷体"/>
          <w:sz w:val="28"/>
          <w:szCs w:val="28"/>
        </w:rPr>
        <w:t>。课题申请人同年度只能申报一个项目，且不能作为课题组成员参与其他项目的申请；课题组成员同年度最多参与两个项目申请；在研项目的课题组成员最多参与一个项目申请。</w:t>
      </w:r>
    </w:p>
    <w:p>
      <w:pPr>
        <w:spacing w:line="360" w:lineRule="auto"/>
        <w:ind w:firstLine="570"/>
        <w:rPr>
          <w:rFonts w:ascii="楷体" w:hAnsi="楷体" w:eastAsia="楷体"/>
          <w:sz w:val="28"/>
          <w:szCs w:val="28"/>
        </w:rPr>
      </w:pPr>
      <w:r>
        <w:rPr>
          <w:rFonts w:hint="eastAsia" w:ascii="楷体" w:hAnsi="楷体" w:eastAsia="楷体"/>
          <w:sz w:val="28"/>
          <w:szCs w:val="28"/>
        </w:rPr>
        <w:t>——所列课题组成员必须征得成员本人同意并签名，否则视为违规申报。</w:t>
      </w:r>
    </w:p>
    <w:p>
      <w:pPr>
        <w:spacing w:line="360" w:lineRule="auto"/>
        <w:ind w:firstLine="562" w:firstLineChars="200"/>
        <w:rPr>
          <w:rFonts w:ascii="黑体" w:hAnsi="黑体" w:eastAsia="黑体"/>
          <w:b/>
          <w:sz w:val="28"/>
          <w:szCs w:val="28"/>
        </w:rPr>
      </w:pPr>
      <w:r>
        <w:rPr>
          <w:rFonts w:hint="eastAsia" w:ascii="黑体" w:hAnsi="黑体" w:eastAsia="黑体"/>
          <w:b/>
          <w:sz w:val="28"/>
          <w:szCs w:val="28"/>
        </w:rPr>
        <w:t>8.年度项目申报材料的报送要求是什么？</w:t>
      </w:r>
    </w:p>
    <w:p>
      <w:pPr>
        <w:spacing w:line="360" w:lineRule="auto"/>
        <w:ind w:firstLine="570"/>
        <w:rPr>
          <w:rFonts w:ascii="楷体" w:hAnsi="楷体" w:eastAsia="楷体"/>
          <w:sz w:val="28"/>
          <w:szCs w:val="28"/>
        </w:rPr>
      </w:pPr>
      <w:r>
        <w:rPr>
          <w:rFonts w:hint="eastAsia" w:ascii="楷体" w:hAnsi="楷体" w:eastAsia="楷体"/>
          <w:sz w:val="28"/>
          <w:szCs w:val="28"/>
        </w:rPr>
        <w:t>——</w:t>
      </w:r>
      <w:r>
        <w:rPr>
          <w:rFonts w:hint="eastAsia" w:ascii="楷体" w:hAnsi="楷体" w:eastAsia="楷体"/>
          <w:b/>
          <w:sz w:val="28"/>
          <w:szCs w:val="28"/>
        </w:rPr>
        <w:t>《申请书》</w:t>
      </w:r>
      <w:r>
        <w:rPr>
          <w:rFonts w:hint="eastAsia" w:ascii="楷体" w:hAnsi="楷体" w:eastAsia="楷体"/>
          <w:sz w:val="28"/>
          <w:szCs w:val="28"/>
        </w:rPr>
        <w:t>须用计算机填写、统一用A3纸双面印制、中缝装订，</w:t>
      </w:r>
      <w:r>
        <w:rPr>
          <w:rFonts w:hint="eastAsia" w:ascii="楷体" w:hAnsi="楷体" w:eastAsia="楷体"/>
          <w:b/>
          <w:sz w:val="28"/>
          <w:szCs w:val="28"/>
        </w:rPr>
        <w:t>《论证活页》</w:t>
      </w:r>
      <w:r>
        <w:rPr>
          <w:rFonts w:hint="eastAsia" w:ascii="楷体" w:hAnsi="楷体" w:eastAsia="楷体"/>
          <w:sz w:val="28"/>
          <w:szCs w:val="28"/>
        </w:rPr>
        <w:t>须用计算机填写、使用</w:t>
      </w:r>
      <w:r>
        <w:rPr>
          <w:rFonts w:hint="eastAsia" w:ascii="楷体" w:hAnsi="楷体" w:eastAsia="楷体"/>
          <w:b/>
          <w:sz w:val="28"/>
          <w:szCs w:val="28"/>
        </w:rPr>
        <w:t>不超过2张A3纸双面印制</w:t>
      </w:r>
      <w:r>
        <w:rPr>
          <w:rFonts w:hint="eastAsia" w:ascii="楷体" w:hAnsi="楷体" w:eastAsia="楷体"/>
          <w:sz w:val="28"/>
          <w:szCs w:val="28"/>
        </w:rPr>
        <w:t>、中缝装订。</w:t>
      </w:r>
    </w:p>
    <w:p>
      <w:pPr>
        <w:spacing w:line="360" w:lineRule="auto"/>
        <w:ind w:firstLine="570"/>
        <w:rPr>
          <w:rFonts w:ascii="楷体" w:hAnsi="楷体" w:eastAsia="楷体"/>
          <w:sz w:val="28"/>
          <w:szCs w:val="28"/>
        </w:rPr>
      </w:pPr>
      <w:r>
        <w:rPr>
          <w:rFonts w:hint="eastAsia" w:ascii="楷体" w:hAnsi="楷体" w:eastAsia="楷体"/>
          <w:sz w:val="28"/>
          <w:szCs w:val="28"/>
        </w:rPr>
        <w:t>——以项目申请人名字建立的电子版文件夹（包括《申请书》、《论证活页》，均为word格式），压缩打包后发送至科研处邮箱：szkyc2015@163.com。</w:t>
      </w:r>
    </w:p>
    <w:p>
      <w:pPr>
        <w:spacing w:line="360" w:lineRule="auto"/>
        <w:ind w:firstLine="562" w:firstLineChars="200"/>
        <w:rPr>
          <w:rFonts w:ascii="黑体" w:hAnsi="黑体" w:eastAsia="黑体"/>
          <w:b/>
          <w:sz w:val="28"/>
          <w:szCs w:val="28"/>
        </w:rPr>
      </w:pPr>
      <w:r>
        <w:rPr>
          <w:rFonts w:hint="eastAsia" w:ascii="黑体" w:hAnsi="黑体" w:eastAsia="黑体"/>
          <w:b/>
          <w:sz w:val="28"/>
          <w:szCs w:val="28"/>
        </w:rPr>
        <w:t>9. 今年经费预算使用有何规定？</w:t>
      </w:r>
    </w:p>
    <w:p>
      <w:pPr>
        <w:spacing w:line="360" w:lineRule="auto"/>
        <w:ind w:firstLine="570"/>
        <w:rPr>
          <w:rFonts w:ascii="楷体" w:hAnsi="楷体" w:eastAsia="楷体"/>
          <w:sz w:val="28"/>
          <w:szCs w:val="28"/>
        </w:rPr>
      </w:pPr>
      <w:r>
        <w:rPr>
          <w:rFonts w:hint="eastAsia" w:ascii="楷体" w:hAnsi="楷体" w:eastAsia="楷体"/>
          <w:sz w:val="28"/>
          <w:szCs w:val="28"/>
        </w:rPr>
        <w:t>——项目经费执行《福建省社会科学规划项目资金管理办法》(闽财教〔2017〕32号)，研究项目资金分为直接费用和间接费用，</w:t>
      </w:r>
      <w:r>
        <w:rPr>
          <w:rFonts w:hint="eastAsia" w:ascii="楷体" w:hAnsi="楷体" w:eastAsia="楷体"/>
          <w:b/>
          <w:sz w:val="28"/>
          <w:szCs w:val="28"/>
        </w:rPr>
        <w:t>年度项目的间接费用支出比例为资助总额的40%</w:t>
      </w:r>
      <w:r>
        <w:rPr>
          <w:rFonts w:hint="eastAsia" w:ascii="楷体" w:hAnsi="楷体" w:eastAsia="楷体"/>
          <w:sz w:val="28"/>
          <w:szCs w:val="28"/>
        </w:rPr>
        <w:t>。</w:t>
      </w:r>
    </w:p>
    <w:p>
      <w:pPr>
        <w:spacing w:line="360" w:lineRule="auto"/>
        <w:ind w:firstLine="570"/>
        <w:rPr>
          <w:rFonts w:ascii="楷体" w:hAnsi="楷体" w:eastAsia="楷体"/>
          <w:sz w:val="28"/>
          <w:szCs w:val="28"/>
        </w:rPr>
      </w:pPr>
      <w:r>
        <w:rPr>
          <w:rFonts w:hint="eastAsia" w:ascii="楷体" w:hAnsi="楷体" w:eastAsia="楷体"/>
          <w:sz w:val="28"/>
          <w:szCs w:val="28"/>
        </w:rPr>
        <w:t>——项目结项后，结余经费可用于项目最终成果出版及后续研究的直接支出。若结项2年后经费仍有剩余的，将退回上级管理部门。对于被终止和被撤项项目的结余经费和已拨资金，将在接到有关终止、撤项通知后30 日内退回上级管理部门。</w:t>
      </w:r>
    </w:p>
    <w:p>
      <w:pPr>
        <w:spacing w:line="360" w:lineRule="auto"/>
        <w:ind w:firstLine="570"/>
        <w:rPr>
          <w:rFonts w:ascii="黑体" w:hAnsi="黑体" w:eastAsia="黑体"/>
          <w:b/>
          <w:sz w:val="28"/>
          <w:szCs w:val="28"/>
        </w:rPr>
      </w:pPr>
      <w:r>
        <w:rPr>
          <w:rFonts w:hint="eastAsia" w:ascii="黑体" w:hAnsi="黑体" w:eastAsia="黑体"/>
          <w:b/>
          <w:sz w:val="28"/>
          <w:szCs w:val="28"/>
        </w:rPr>
        <w:t>10.2018年立项的省社科规划年度项目结项条件是什么？</w:t>
      </w:r>
    </w:p>
    <w:p>
      <w:pPr>
        <w:spacing w:line="360" w:lineRule="auto"/>
        <w:ind w:firstLine="570"/>
        <w:rPr>
          <w:rFonts w:ascii="楷体" w:hAnsi="楷体" w:eastAsia="楷体"/>
          <w:sz w:val="28"/>
          <w:szCs w:val="28"/>
        </w:rPr>
      </w:pPr>
      <w:r>
        <w:rPr>
          <w:rFonts w:hint="eastAsia" w:ascii="楷体" w:hAnsi="楷体" w:eastAsia="楷体"/>
          <w:sz w:val="28"/>
          <w:szCs w:val="28"/>
        </w:rPr>
        <w:t>——最终成果形式为</w:t>
      </w:r>
      <w:r>
        <w:rPr>
          <w:rFonts w:hint="eastAsia" w:ascii="楷体" w:hAnsi="楷体" w:eastAsia="楷体"/>
          <w:b/>
          <w:sz w:val="28"/>
          <w:szCs w:val="28"/>
        </w:rPr>
        <w:t>论文集</w:t>
      </w:r>
      <w:r>
        <w:rPr>
          <w:rFonts w:hint="eastAsia" w:ascii="楷体" w:hAnsi="楷体" w:eastAsia="楷体"/>
          <w:sz w:val="28"/>
          <w:szCs w:val="28"/>
        </w:rPr>
        <w:t>的项目，</w:t>
      </w:r>
      <w:r>
        <w:rPr>
          <w:rFonts w:hint="eastAsia" w:ascii="楷体" w:hAnsi="楷体" w:eastAsia="楷体"/>
          <w:b/>
          <w:sz w:val="28"/>
          <w:szCs w:val="28"/>
        </w:rPr>
        <w:t>重大项目</w:t>
      </w:r>
      <w:r>
        <w:rPr>
          <w:rFonts w:hint="eastAsia" w:ascii="楷体" w:hAnsi="楷体" w:eastAsia="楷体"/>
          <w:sz w:val="28"/>
          <w:szCs w:val="28"/>
        </w:rPr>
        <w:t>项目负责人及课题组成员至少要正式发表5篇以上（项目负责人至少有1篇）与项目研究内容相关的学术论文，其中在CSSCI来源期刊（不含扩展版）上发表不少于2篇；</w:t>
      </w:r>
      <w:r>
        <w:rPr>
          <w:rFonts w:hint="eastAsia" w:ascii="楷体" w:hAnsi="楷体" w:eastAsia="楷体"/>
          <w:b/>
          <w:sz w:val="28"/>
          <w:szCs w:val="28"/>
        </w:rPr>
        <w:t>一般项目、青年项目</w:t>
      </w:r>
      <w:r>
        <w:rPr>
          <w:rFonts w:hint="eastAsia" w:ascii="楷体" w:hAnsi="楷体" w:eastAsia="楷体"/>
          <w:sz w:val="28"/>
          <w:szCs w:val="28"/>
        </w:rPr>
        <w:t>项目负责人及课题组成员至少要正式发表3篇以上（项目负责人至少有1篇）与项目研究内容相关的学术论文，其中在CSSCI来源期刊（不含扩展版）上发表不少于1篇。</w:t>
      </w:r>
    </w:p>
    <w:p>
      <w:pPr>
        <w:spacing w:line="360" w:lineRule="auto"/>
        <w:ind w:firstLine="570"/>
        <w:rPr>
          <w:rFonts w:ascii="楷体" w:hAnsi="楷体" w:eastAsia="楷体"/>
          <w:sz w:val="28"/>
          <w:szCs w:val="28"/>
        </w:rPr>
      </w:pPr>
      <w:r>
        <w:rPr>
          <w:rFonts w:hint="eastAsia" w:ascii="楷体" w:hAnsi="楷体" w:eastAsia="楷体"/>
          <w:sz w:val="28"/>
          <w:szCs w:val="28"/>
        </w:rPr>
        <w:t>——最终成果形式为</w:t>
      </w:r>
      <w:r>
        <w:rPr>
          <w:rFonts w:hint="eastAsia" w:ascii="楷体" w:hAnsi="楷体" w:eastAsia="楷体"/>
          <w:b/>
          <w:sz w:val="28"/>
          <w:szCs w:val="28"/>
        </w:rPr>
        <w:t>研究报告或专著</w:t>
      </w:r>
      <w:r>
        <w:rPr>
          <w:rFonts w:hint="eastAsia" w:ascii="楷体" w:hAnsi="楷体" w:eastAsia="楷体"/>
          <w:sz w:val="28"/>
          <w:szCs w:val="28"/>
        </w:rPr>
        <w:t>的项目，鼓励正式发表学术论文作为阶段性成果，但</w:t>
      </w:r>
      <w:r>
        <w:rPr>
          <w:rFonts w:hint="eastAsia" w:ascii="楷体" w:hAnsi="楷体" w:eastAsia="楷体"/>
          <w:b/>
          <w:sz w:val="28"/>
          <w:szCs w:val="28"/>
        </w:rPr>
        <w:t>不做强制性要求</w:t>
      </w:r>
      <w:r>
        <w:rPr>
          <w:rFonts w:hint="eastAsia" w:ascii="楷体" w:hAnsi="楷体" w:eastAsia="楷体"/>
          <w:sz w:val="28"/>
          <w:szCs w:val="28"/>
        </w:rPr>
        <w:t>，申请免于鉴定的，需达到免鉴定所要求的条件。</w:t>
      </w:r>
    </w:p>
    <w:p>
      <w:pPr>
        <w:spacing w:line="360" w:lineRule="auto"/>
        <w:ind w:firstLine="570"/>
        <w:rPr>
          <w:rFonts w:ascii="楷体" w:hAnsi="楷体" w:eastAsia="楷体"/>
          <w:sz w:val="28"/>
          <w:szCs w:val="28"/>
        </w:rPr>
      </w:pPr>
      <w:r>
        <w:rPr>
          <w:rFonts w:hint="eastAsia" w:ascii="楷体" w:hAnsi="楷体" w:eastAsia="楷体"/>
          <w:sz w:val="28"/>
          <w:szCs w:val="28"/>
        </w:rPr>
        <w:t>——最终研究成果形式为专著类的项目，</w:t>
      </w:r>
      <w:r>
        <w:rPr>
          <w:rFonts w:hint="eastAsia" w:ascii="楷体" w:hAnsi="楷体" w:eastAsia="楷体"/>
          <w:b/>
          <w:sz w:val="28"/>
          <w:szCs w:val="28"/>
        </w:rPr>
        <w:t>允许先出版后结项</w:t>
      </w:r>
      <w:r>
        <w:rPr>
          <w:rFonts w:hint="eastAsia" w:ascii="楷体" w:hAnsi="楷体" w:eastAsia="楷体"/>
          <w:sz w:val="28"/>
          <w:szCs w:val="28"/>
        </w:rPr>
        <w:t>，由</w:t>
      </w:r>
      <w:r>
        <w:rPr>
          <w:rFonts w:hint="eastAsia" w:ascii="楷体" w:hAnsi="楷体" w:eastAsia="楷体"/>
          <w:b/>
          <w:sz w:val="28"/>
          <w:szCs w:val="28"/>
        </w:rPr>
        <w:t>国家一级出版社出版的专著可以给予免鉴定结项</w:t>
      </w:r>
      <w:r>
        <w:rPr>
          <w:rFonts w:hint="eastAsia" w:ascii="楷体" w:hAnsi="楷体" w:eastAsia="楷体"/>
          <w:sz w:val="28"/>
          <w:szCs w:val="28"/>
        </w:rPr>
        <w:t>（具体出版社参照每年新闻出版总署发布的名单）</w:t>
      </w:r>
    </w:p>
    <w:p>
      <w:pPr>
        <w:spacing w:line="360" w:lineRule="auto"/>
        <w:ind w:firstLine="570"/>
        <w:rPr>
          <w:rFonts w:ascii="楷体" w:hAnsi="楷体" w:eastAsia="楷体"/>
          <w:sz w:val="28"/>
          <w:szCs w:val="28"/>
        </w:rPr>
      </w:pPr>
      <w:r>
        <w:rPr>
          <w:rFonts w:hint="eastAsia" w:ascii="楷体" w:hAnsi="楷体" w:eastAsia="楷体"/>
          <w:sz w:val="28"/>
          <w:szCs w:val="28"/>
        </w:rPr>
        <w:t>——省社科规划办将对项目最终成果通过知网进行查重检测后再办理鉴定结项，</w:t>
      </w:r>
      <w:r>
        <w:rPr>
          <w:rFonts w:hint="eastAsia" w:ascii="楷体" w:hAnsi="楷体" w:eastAsia="楷体"/>
          <w:b/>
          <w:sz w:val="28"/>
          <w:szCs w:val="28"/>
        </w:rPr>
        <w:t>重复率超过20%的项目将予以退回</w:t>
      </w:r>
      <w:r>
        <w:rPr>
          <w:rFonts w:hint="eastAsia" w:ascii="楷体" w:hAnsi="楷体" w:eastAsia="楷体"/>
          <w:sz w:val="28"/>
          <w:szCs w:val="28"/>
        </w:rPr>
        <w:t>。</w:t>
      </w:r>
    </w:p>
    <w:p>
      <w:pPr>
        <w:spacing w:line="360" w:lineRule="auto"/>
        <w:ind w:firstLine="570"/>
        <w:rPr>
          <w:rFonts w:ascii="黑体" w:hAnsi="黑体" w:eastAsia="黑体"/>
          <w:b/>
          <w:sz w:val="28"/>
          <w:szCs w:val="28"/>
        </w:rPr>
      </w:pPr>
      <w:r>
        <w:rPr>
          <w:rFonts w:hint="eastAsia" w:ascii="黑体" w:hAnsi="黑体" w:eastAsia="黑体"/>
          <w:b/>
          <w:sz w:val="28"/>
          <w:szCs w:val="28"/>
        </w:rPr>
        <w:t>11.2018年立项的省社科规划年度项目免鉴定结项的条件有哪些？</w:t>
      </w:r>
    </w:p>
    <w:p>
      <w:pPr>
        <w:spacing w:line="360" w:lineRule="auto"/>
        <w:ind w:firstLine="570"/>
        <w:rPr>
          <w:rFonts w:ascii="楷体" w:hAnsi="楷体" w:eastAsia="楷体"/>
          <w:sz w:val="28"/>
          <w:szCs w:val="28"/>
        </w:rPr>
      </w:pPr>
      <w:r>
        <w:rPr>
          <w:rFonts w:hint="eastAsia" w:ascii="楷体" w:hAnsi="楷体" w:eastAsia="楷体"/>
          <w:sz w:val="28"/>
          <w:szCs w:val="28"/>
        </w:rPr>
        <w:t>省社科规划项目成果达到下列要求之一的，可申请免于鉴定：</w:t>
      </w:r>
    </w:p>
    <w:p>
      <w:pPr>
        <w:spacing w:line="360" w:lineRule="auto"/>
        <w:ind w:firstLine="570"/>
        <w:rPr>
          <w:rFonts w:ascii="楷体" w:hAnsi="楷体" w:eastAsia="楷体"/>
          <w:sz w:val="28"/>
          <w:szCs w:val="28"/>
        </w:rPr>
      </w:pPr>
      <w:r>
        <w:rPr>
          <w:rFonts w:hint="eastAsia" w:ascii="楷体" w:hAnsi="楷体" w:eastAsia="楷体"/>
          <w:sz w:val="28"/>
          <w:szCs w:val="28"/>
        </w:rPr>
        <w:t>——</w:t>
      </w:r>
      <w:r>
        <w:rPr>
          <w:rFonts w:hint="eastAsia" w:ascii="楷体" w:hAnsi="楷体" w:eastAsia="楷体"/>
          <w:b/>
          <w:sz w:val="28"/>
          <w:szCs w:val="28"/>
        </w:rPr>
        <w:t>重大项目</w:t>
      </w:r>
      <w:r>
        <w:rPr>
          <w:rFonts w:hint="eastAsia" w:ascii="楷体" w:hAnsi="楷体" w:eastAsia="楷体"/>
          <w:sz w:val="28"/>
          <w:szCs w:val="28"/>
        </w:rPr>
        <w:t>成果在权威期刊（权威期刊名单以省社科规划办每年发布的期刊为准）上发表2篇及以上学术论文的，《新华文摘》《中国社会科学文摘》《高等学校文科学术文摘》全文转摘视同在国家级权威刊物上发表学术论文，或项目成果得到省部级及以上党政领导肯定性批示或被采纳的；</w:t>
      </w:r>
    </w:p>
    <w:p>
      <w:pPr>
        <w:spacing w:line="360" w:lineRule="auto"/>
        <w:ind w:firstLine="570"/>
        <w:rPr>
          <w:rFonts w:ascii="楷体" w:hAnsi="楷体" w:eastAsia="楷体"/>
          <w:sz w:val="28"/>
          <w:szCs w:val="28"/>
        </w:rPr>
      </w:pPr>
      <w:r>
        <w:rPr>
          <w:rFonts w:hint="eastAsia" w:ascii="楷体" w:hAnsi="楷体" w:eastAsia="楷体"/>
          <w:sz w:val="28"/>
          <w:szCs w:val="28"/>
        </w:rPr>
        <w:t>——</w:t>
      </w:r>
      <w:r>
        <w:rPr>
          <w:rFonts w:hint="eastAsia" w:ascii="楷体" w:hAnsi="楷体" w:eastAsia="楷体"/>
          <w:b/>
          <w:sz w:val="28"/>
          <w:szCs w:val="28"/>
        </w:rPr>
        <w:t>一般项目和青年项目</w:t>
      </w:r>
      <w:r>
        <w:rPr>
          <w:rFonts w:hint="eastAsia" w:ascii="楷体" w:hAnsi="楷体" w:eastAsia="楷体"/>
          <w:sz w:val="28"/>
          <w:szCs w:val="28"/>
        </w:rPr>
        <w:t>成果在CSSCI来源期刊（不含扩展版）发表2篇及以上学术论文的，或项目成果得到省部级及以上党政领导肯定性批示或采纳的；</w:t>
      </w:r>
    </w:p>
    <w:p>
      <w:pPr>
        <w:spacing w:line="360" w:lineRule="auto"/>
        <w:ind w:firstLine="570"/>
        <w:rPr>
          <w:rFonts w:ascii="楷体" w:hAnsi="楷体" w:eastAsia="楷体"/>
          <w:sz w:val="28"/>
          <w:szCs w:val="28"/>
        </w:rPr>
      </w:pPr>
      <w:r>
        <w:rPr>
          <w:rFonts w:hint="eastAsia" w:ascii="楷体" w:hAnsi="楷体" w:eastAsia="楷体"/>
          <w:sz w:val="28"/>
          <w:szCs w:val="28"/>
        </w:rPr>
        <w:t>——项目成果获得我省设区市社会科学优秀成果奖评奖一等奖级奖励的，或省部级社会科学优秀成果奖三等奖及以上奖励的；</w:t>
      </w:r>
    </w:p>
    <w:p>
      <w:pPr>
        <w:spacing w:line="360" w:lineRule="auto"/>
        <w:ind w:firstLine="570"/>
        <w:rPr>
          <w:rFonts w:ascii="楷体" w:hAnsi="楷体" w:eastAsia="楷体"/>
          <w:sz w:val="28"/>
          <w:szCs w:val="28"/>
        </w:rPr>
      </w:pPr>
      <w:r>
        <w:rPr>
          <w:rFonts w:hint="eastAsia" w:ascii="楷体" w:hAnsi="楷体" w:eastAsia="楷体"/>
          <w:sz w:val="28"/>
          <w:szCs w:val="28"/>
        </w:rPr>
        <w:t>——特别委托项目申请免于同行专家鉴定的，原则上参照上述免于同行专家鉴定条件，特殊情况除外。</w:t>
      </w:r>
    </w:p>
    <w:p>
      <w:pPr>
        <w:spacing w:line="360" w:lineRule="auto"/>
        <w:ind w:firstLine="570"/>
        <w:rPr>
          <w:rFonts w:ascii="楷体" w:hAnsi="楷体" w:eastAsia="楷体"/>
          <w:sz w:val="28"/>
          <w:szCs w:val="28"/>
        </w:rPr>
      </w:pPr>
      <w:r>
        <w:rPr>
          <w:rFonts w:hint="eastAsia" w:ascii="楷体" w:hAnsi="楷体" w:eastAsia="楷体"/>
          <w:sz w:val="28"/>
          <w:szCs w:val="28"/>
        </w:rPr>
        <w:t>——最终研究成果形式为专著类的项目，由</w:t>
      </w:r>
      <w:r>
        <w:rPr>
          <w:rFonts w:hint="eastAsia" w:ascii="楷体" w:hAnsi="楷体" w:eastAsia="楷体"/>
          <w:b/>
          <w:sz w:val="28"/>
          <w:szCs w:val="28"/>
        </w:rPr>
        <w:t>国家一级出版社出版的专著可以给予免鉴定结项</w:t>
      </w:r>
      <w:r>
        <w:rPr>
          <w:rFonts w:hint="eastAsia" w:ascii="楷体" w:hAnsi="楷体" w:eastAsia="楷体"/>
          <w:sz w:val="28"/>
          <w:szCs w:val="28"/>
        </w:rPr>
        <w:t>（具体出版社参照每年新闻出版总署发布的名单）。</w:t>
      </w:r>
    </w:p>
    <w:p>
      <w:pPr>
        <w:spacing w:line="360" w:lineRule="auto"/>
        <w:ind w:firstLine="570"/>
        <w:rPr>
          <w:rFonts w:ascii="黑体" w:hAnsi="黑体" w:eastAsia="黑体"/>
          <w:b/>
          <w:sz w:val="28"/>
          <w:szCs w:val="28"/>
        </w:rPr>
      </w:pPr>
      <w:r>
        <w:rPr>
          <w:rFonts w:hint="eastAsia" w:ascii="黑体" w:hAnsi="黑体" w:eastAsia="黑体"/>
          <w:b/>
          <w:sz w:val="28"/>
          <w:szCs w:val="28"/>
        </w:rPr>
        <w:t>12.2018年立项的省社科规划年度项目结项材料报送要求是什么？</w:t>
      </w:r>
    </w:p>
    <w:p>
      <w:pPr>
        <w:spacing w:line="360" w:lineRule="auto"/>
        <w:ind w:firstLine="570"/>
        <w:rPr>
          <w:rFonts w:ascii="黑体" w:hAnsi="黑体" w:eastAsia="黑体"/>
          <w:b/>
          <w:sz w:val="28"/>
          <w:szCs w:val="28"/>
        </w:rPr>
      </w:pPr>
      <w:r>
        <w:rPr>
          <w:rFonts w:hint="eastAsia" w:ascii="黑体" w:hAnsi="黑体" w:eastAsia="黑体"/>
          <w:b/>
          <w:sz w:val="28"/>
          <w:szCs w:val="28"/>
        </w:rPr>
        <w:t>——免鉴定项目</w:t>
      </w:r>
    </w:p>
    <w:p>
      <w:pPr>
        <w:spacing w:line="360" w:lineRule="auto"/>
        <w:ind w:firstLine="570"/>
        <w:rPr>
          <w:rFonts w:ascii="楷体" w:hAnsi="楷体" w:eastAsia="楷体"/>
          <w:sz w:val="28"/>
          <w:szCs w:val="28"/>
        </w:rPr>
      </w:pPr>
      <w:r>
        <w:rPr>
          <w:rFonts w:hint="eastAsia" w:ascii="楷体" w:hAnsi="楷体" w:eastAsia="楷体"/>
          <w:sz w:val="28"/>
          <w:szCs w:val="28"/>
        </w:rPr>
        <w:t>（1）《结项审批书》（2018年1月修订）一式3份（A4打印，左侧装订，财务、监审、部门盖章并附加盖财务章的经费明细表）；</w:t>
      </w:r>
    </w:p>
    <w:p>
      <w:pPr>
        <w:spacing w:line="360" w:lineRule="auto"/>
        <w:ind w:firstLine="570"/>
        <w:rPr>
          <w:rFonts w:ascii="楷体" w:hAnsi="楷体" w:eastAsia="楷体"/>
          <w:sz w:val="28"/>
          <w:szCs w:val="28"/>
        </w:rPr>
      </w:pPr>
      <w:r>
        <w:rPr>
          <w:rFonts w:hint="eastAsia" w:ascii="楷体" w:hAnsi="楷体" w:eastAsia="楷体"/>
          <w:sz w:val="28"/>
          <w:szCs w:val="28"/>
        </w:rPr>
        <w:t>（2）胶装的《结项鉴定》一式2套，内容包括：“最终成果简介”、“阶段性成果复印件”、“最终成果”和附件（采纳证明或领导批示）；</w:t>
      </w:r>
    </w:p>
    <w:p>
      <w:pPr>
        <w:spacing w:line="360" w:lineRule="auto"/>
        <w:ind w:firstLine="570"/>
        <w:rPr>
          <w:rFonts w:ascii="黑体" w:hAnsi="黑体" w:eastAsia="黑体"/>
          <w:b/>
          <w:sz w:val="28"/>
          <w:szCs w:val="28"/>
        </w:rPr>
      </w:pPr>
      <w:r>
        <w:rPr>
          <w:rFonts w:hint="eastAsia" w:ascii="黑体" w:hAnsi="黑体" w:eastAsia="黑体"/>
          <w:b/>
          <w:sz w:val="28"/>
          <w:szCs w:val="28"/>
        </w:rPr>
        <w:t>——非免鉴定项目</w:t>
      </w:r>
    </w:p>
    <w:p>
      <w:pPr>
        <w:spacing w:line="360" w:lineRule="auto"/>
        <w:ind w:firstLine="570"/>
        <w:rPr>
          <w:rFonts w:ascii="楷体" w:hAnsi="楷体" w:eastAsia="楷体"/>
          <w:sz w:val="28"/>
          <w:szCs w:val="28"/>
        </w:rPr>
      </w:pPr>
      <w:r>
        <w:rPr>
          <w:rFonts w:hint="eastAsia" w:ascii="楷体" w:hAnsi="楷体" w:eastAsia="楷体"/>
          <w:sz w:val="28"/>
          <w:szCs w:val="28"/>
        </w:rPr>
        <w:t>（1）《结项审批书》（2018年1月修订）一式3份（A4打印，左侧装订，财务、审计、学院盖章并附加盖财务章的经费明细表）；</w:t>
      </w:r>
    </w:p>
    <w:p>
      <w:pPr>
        <w:spacing w:line="360" w:lineRule="auto"/>
        <w:ind w:firstLine="570"/>
        <w:rPr>
          <w:rFonts w:ascii="楷体" w:hAnsi="楷体" w:eastAsia="楷体"/>
          <w:sz w:val="28"/>
          <w:szCs w:val="28"/>
        </w:rPr>
      </w:pPr>
      <w:r>
        <w:rPr>
          <w:rFonts w:hint="eastAsia" w:ascii="楷体" w:hAnsi="楷体" w:eastAsia="楷体"/>
          <w:sz w:val="28"/>
          <w:szCs w:val="28"/>
        </w:rPr>
        <w:t>（2）胶装的《结项鉴定》一式2套，内容包括：“最终成果简介”、“阶段性成果复印件”、“最终成果”和附件（采纳证明或领导批示）；</w:t>
      </w:r>
    </w:p>
    <w:p>
      <w:pPr>
        <w:spacing w:line="360" w:lineRule="auto"/>
        <w:ind w:firstLine="570"/>
        <w:rPr>
          <w:rFonts w:ascii="楷体" w:hAnsi="楷体" w:eastAsia="楷体"/>
          <w:sz w:val="28"/>
          <w:szCs w:val="28"/>
        </w:rPr>
      </w:pPr>
      <w:r>
        <w:rPr>
          <w:rFonts w:hint="eastAsia" w:ascii="楷体" w:hAnsi="楷体" w:eastAsia="楷体"/>
          <w:sz w:val="28"/>
          <w:szCs w:val="28"/>
        </w:rPr>
        <w:t>（3）胶装的《结项鉴定》（需进行匿名处理）一式3套。</w:t>
      </w:r>
    </w:p>
    <w:p>
      <w:pPr>
        <w:spacing w:line="360" w:lineRule="auto"/>
        <w:ind w:firstLine="560" w:firstLineChars="200"/>
        <w:rPr>
          <w:rFonts w:ascii="楷体" w:hAnsi="楷体" w:eastAsia="楷体"/>
          <w:sz w:val="28"/>
          <w:szCs w:val="28"/>
        </w:rPr>
      </w:pPr>
      <w:bookmarkStart w:id="1" w:name="_GoBack"/>
      <w:bookmarkEnd w:id="1"/>
    </w:p>
    <w:sectPr>
      <w:footerReference r:id="rId3" w:type="default"/>
      <w:pgSz w:w="11906" w:h="16838"/>
      <w:pgMar w:top="1440" w:right="1486"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方正小标宋简体">
    <w:altName w:val="微软雅黑"/>
    <w:panose1 w:val="00000000000000000000"/>
    <w:charset w:val="86"/>
    <w:family w:val="auto"/>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Arial">
    <w:panose1 w:val="020B0604020202020204"/>
    <w:charset w:val="00"/>
    <w:family w:val="auto"/>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6472918"/>
      <w:docPartObj>
        <w:docPartGallery w:val="AutoText"/>
      </w:docPartObj>
    </w:sdtPr>
    <w:sdtContent>
      <w:p>
        <w:pPr>
          <w:pStyle w:val="6"/>
          <w:jc w:val="center"/>
        </w:pPr>
        <w:r>
          <w:fldChar w:fldCharType="begin"/>
        </w:r>
        <w:r>
          <w:instrText xml:space="preserve"> PAGE   \* MERGEFORMAT </w:instrText>
        </w:r>
        <w:r>
          <w:fldChar w:fldCharType="separate"/>
        </w:r>
        <w:r>
          <w:rPr>
            <w:lang w:val="zh-CN"/>
          </w:rPr>
          <w:t>6</w:t>
        </w:r>
        <w:r>
          <w:rPr>
            <w:lang w:val="zh-CN"/>
          </w:rPr>
          <w:fldChar w:fldCharType="end"/>
        </w:r>
      </w:p>
    </w:sdtContent>
  </w:sdt>
  <w:p>
    <w:pPr>
      <w:pStyle w:val="6"/>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6A49A1"/>
    <w:rsid w:val="00001C44"/>
    <w:rsid w:val="000041D1"/>
    <w:rsid w:val="00007B84"/>
    <w:rsid w:val="00011FBC"/>
    <w:rsid w:val="000141C9"/>
    <w:rsid w:val="00022BFB"/>
    <w:rsid w:val="0003385C"/>
    <w:rsid w:val="00062140"/>
    <w:rsid w:val="00064FAC"/>
    <w:rsid w:val="00070C55"/>
    <w:rsid w:val="00081C34"/>
    <w:rsid w:val="00083F08"/>
    <w:rsid w:val="00090985"/>
    <w:rsid w:val="000954B8"/>
    <w:rsid w:val="000A5833"/>
    <w:rsid w:val="000C01B8"/>
    <w:rsid w:val="000C0934"/>
    <w:rsid w:val="000C41DB"/>
    <w:rsid w:val="000D761E"/>
    <w:rsid w:val="000F3E86"/>
    <w:rsid w:val="001347AE"/>
    <w:rsid w:val="0013625D"/>
    <w:rsid w:val="00153BEF"/>
    <w:rsid w:val="00160038"/>
    <w:rsid w:val="001666AE"/>
    <w:rsid w:val="0018177D"/>
    <w:rsid w:val="001A7444"/>
    <w:rsid w:val="001C0011"/>
    <w:rsid w:val="001C2E29"/>
    <w:rsid w:val="001C73BE"/>
    <w:rsid w:val="001E6B1B"/>
    <w:rsid w:val="001F0654"/>
    <w:rsid w:val="001F3E67"/>
    <w:rsid w:val="00225AF9"/>
    <w:rsid w:val="00231BCB"/>
    <w:rsid w:val="0026524B"/>
    <w:rsid w:val="00273143"/>
    <w:rsid w:val="00283F2C"/>
    <w:rsid w:val="00290E9B"/>
    <w:rsid w:val="00296044"/>
    <w:rsid w:val="00297C27"/>
    <w:rsid w:val="002A6AD5"/>
    <w:rsid w:val="002A7650"/>
    <w:rsid w:val="002B2CAA"/>
    <w:rsid w:val="002E2295"/>
    <w:rsid w:val="002F4C59"/>
    <w:rsid w:val="00347541"/>
    <w:rsid w:val="0036705F"/>
    <w:rsid w:val="00374092"/>
    <w:rsid w:val="003B1E33"/>
    <w:rsid w:val="003D5416"/>
    <w:rsid w:val="00403FB2"/>
    <w:rsid w:val="004068DB"/>
    <w:rsid w:val="00410A04"/>
    <w:rsid w:val="004167FF"/>
    <w:rsid w:val="00423F03"/>
    <w:rsid w:val="004258FA"/>
    <w:rsid w:val="00464068"/>
    <w:rsid w:val="00464404"/>
    <w:rsid w:val="0048120D"/>
    <w:rsid w:val="004E0565"/>
    <w:rsid w:val="004E1F5B"/>
    <w:rsid w:val="004E6D5C"/>
    <w:rsid w:val="00507A69"/>
    <w:rsid w:val="0051424E"/>
    <w:rsid w:val="0058513F"/>
    <w:rsid w:val="005B6C08"/>
    <w:rsid w:val="005D0897"/>
    <w:rsid w:val="005D6D90"/>
    <w:rsid w:val="005F62CB"/>
    <w:rsid w:val="00612500"/>
    <w:rsid w:val="006129E1"/>
    <w:rsid w:val="006334F7"/>
    <w:rsid w:val="00640F69"/>
    <w:rsid w:val="00675F2F"/>
    <w:rsid w:val="006A499D"/>
    <w:rsid w:val="006A49A1"/>
    <w:rsid w:val="006B3067"/>
    <w:rsid w:val="006B7B38"/>
    <w:rsid w:val="006C6CFF"/>
    <w:rsid w:val="00701641"/>
    <w:rsid w:val="00713D14"/>
    <w:rsid w:val="00732680"/>
    <w:rsid w:val="00752900"/>
    <w:rsid w:val="007531D5"/>
    <w:rsid w:val="00757A3D"/>
    <w:rsid w:val="0076414C"/>
    <w:rsid w:val="0077186E"/>
    <w:rsid w:val="007C5896"/>
    <w:rsid w:val="007C5D12"/>
    <w:rsid w:val="007D3029"/>
    <w:rsid w:val="007E6147"/>
    <w:rsid w:val="008014E3"/>
    <w:rsid w:val="008062CD"/>
    <w:rsid w:val="008208ED"/>
    <w:rsid w:val="008330F7"/>
    <w:rsid w:val="0083553A"/>
    <w:rsid w:val="0084364E"/>
    <w:rsid w:val="0088273C"/>
    <w:rsid w:val="008939D4"/>
    <w:rsid w:val="008A59D8"/>
    <w:rsid w:val="008C2BB0"/>
    <w:rsid w:val="008C3A1F"/>
    <w:rsid w:val="008F110C"/>
    <w:rsid w:val="008F652B"/>
    <w:rsid w:val="00942D5E"/>
    <w:rsid w:val="009446DD"/>
    <w:rsid w:val="009474E8"/>
    <w:rsid w:val="00980642"/>
    <w:rsid w:val="009B7C11"/>
    <w:rsid w:val="009B7F6D"/>
    <w:rsid w:val="009C0C40"/>
    <w:rsid w:val="009C3CBA"/>
    <w:rsid w:val="009C74C2"/>
    <w:rsid w:val="009D7846"/>
    <w:rsid w:val="009E6792"/>
    <w:rsid w:val="009F6115"/>
    <w:rsid w:val="00A06D74"/>
    <w:rsid w:val="00A26023"/>
    <w:rsid w:val="00A275E9"/>
    <w:rsid w:val="00A36A8C"/>
    <w:rsid w:val="00A41618"/>
    <w:rsid w:val="00A47A84"/>
    <w:rsid w:val="00A51566"/>
    <w:rsid w:val="00A600FA"/>
    <w:rsid w:val="00A91B88"/>
    <w:rsid w:val="00A94097"/>
    <w:rsid w:val="00AC1831"/>
    <w:rsid w:val="00AD73B3"/>
    <w:rsid w:val="00AF7BC5"/>
    <w:rsid w:val="00B03107"/>
    <w:rsid w:val="00B1287C"/>
    <w:rsid w:val="00B17F8A"/>
    <w:rsid w:val="00B2798E"/>
    <w:rsid w:val="00B4373F"/>
    <w:rsid w:val="00B53A6F"/>
    <w:rsid w:val="00B73108"/>
    <w:rsid w:val="00BA3431"/>
    <w:rsid w:val="00BC2F43"/>
    <w:rsid w:val="00BD0C4C"/>
    <w:rsid w:val="00BD6DC4"/>
    <w:rsid w:val="00C00366"/>
    <w:rsid w:val="00C06C82"/>
    <w:rsid w:val="00C12530"/>
    <w:rsid w:val="00C17B1A"/>
    <w:rsid w:val="00C525C9"/>
    <w:rsid w:val="00C7670F"/>
    <w:rsid w:val="00C92593"/>
    <w:rsid w:val="00CA0B6F"/>
    <w:rsid w:val="00CA0FD2"/>
    <w:rsid w:val="00CA3D7B"/>
    <w:rsid w:val="00CA4929"/>
    <w:rsid w:val="00CA6F81"/>
    <w:rsid w:val="00CB056D"/>
    <w:rsid w:val="00CB5AFB"/>
    <w:rsid w:val="00CB727E"/>
    <w:rsid w:val="00CC62B9"/>
    <w:rsid w:val="00CD5A49"/>
    <w:rsid w:val="00D07EDD"/>
    <w:rsid w:val="00D10DC7"/>
    <w:rsid w:val="00D17B76"/>
    <w:rsid w:val="00D42BA5"/>
    <w:rsid w:val="00D47BEA"/>
    <w:rsid w:val="00D76FB9"/>
    <w:rsid w:val="00D96C0E"/>
    <w:rsid w:val="00DB7954"/>
    <w:rsid w:val="00DE364A"/>
    <w:rsid w:val="00DF5AA9"/>
    <w:rsid w:val="00E05D73"/>
    <w:rsid w:val="00E34811"/>
    <w:rsid w:val="00E41CAA"/>
    <w:rsid w:val="00E51CE7"/>
    <w:rsid w:val="00E75499"/>
    <w:rsid w:val="00E84327"/>
    <w:rsid w:val="00E877DA"/>
    <w:rsid w:val="00EB1C0F"/>
    <w:rsid w:val="00F15AA6"/>
    <w:rsid w:val="00F210D4"/>
    <w:rsid w:val="00F42828"/>
    <w:rsid w:val="00F629A9"/>
    <w:rsid w:val="00F76980"/>
    <w:rsid w:val="00F77B54"/>
    <w:rsid w:val="00F86176"/>
    <w:rsid w:val="00FA35C5"/>
    <w:rsid w:val="00FA5516"/>
    <w:rsid w:val="00FA67AC"/>
    <w:rsid w:val="00FB7784"/>
    <w:rsid w:val="00FC3683"/>
    <w:rsid w:val="00FF292D"/>
    <w:rsid w:val="063952D6"/>
    <w:rsid w:val="11A93511"/>
    <w:rsid w:val="7F3238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nhideWhenUsed="0"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semiHidden="0"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8"/>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19"/>
    <w:unhideWhenUsed/>
    <w:qFormat/>
    <w:uiPriority w:val="9"/>
    <w:pPr>
      <w:keepNext/>
      <w:keepLines/>
      <w:spacing w:before="260" w:after="260" w:line="416" w:lineRule="auto"/>
      <w:outlineLvl w:val="1"/>
    </w:pPr>
    <w:rPr>
      <w:rFonts w:eastAsia="方正小标宋简体" w:asciiTheme="majorHAnsi" w:hAnsiTheme="majorHAnsi" w:cstheme="majorBidi"/>
      <w:bCs/>
      <w:sz w:val="32"/>
      <w:szCs w:val="32"/>
    </w:rPr>
  </w:style>
  <w:style w:type="paragraph" w:styleId="4">
    <w:name w:val="heading 3"/>
    <w:basedOn w:val="1"/>
    <w:next w:val="1"/>
    <w:link w:val="14"/>
    <w:qFormat/>
    <w:uiPriority w:val="9"/>
    <w:pPr>
      <w:widowControl/>
      <w:spacing w:before="100" w:beforeAutospacing="1" w:after="100" w:afterAutospacing="1"/>
      <w:jc w:val="left"/>
      <w:outlineLvl w:val="2"/>
    </w:pPr>
    <w:rPr>
      <w:rFonts w:ascii="宋体" w:hAnsi="宋体" w:eastAsia="宋体" w:cs="宋体"/>
      <w:b/>
      <w:bCs/>
      <w:kern w:val="0"/>
      <w:sz w:val="27"/>
      <w:szCs w:val="27"/>
    </w:rPr>
  </w:style>
  <w:style w:type="character" w:default="1" w:styleId="9">
    <w:name w:val="Default Paragraph Font"/>
    <w:semiHidden/>
    <w:unhideWhenUsed/>
    <w:uiPriority w:val="1"/>
  </w:style>
  <w:style w:type="table" w:default="1" w:styleId="13">
    <w:name w:val="Normal Table"/>
    <w:semiHidden/>
    <w:unhideWhenUsed/>
    <w:qFormat/>
    <w:uiPriority w:val="99"/>
    <w:tblPr>
      <w:tblLayout w:type="fixed"/>
      <w:tblCellMar>
        <w:top w:w="0" w:type="dxa"/>
        <w:left w:w="108" w:type="dxa"/>
        <w:bottom w:w="0" w:type="dxa"/>
        <w:right w:w="108" w:type="dxa"/>
      </w:tblCellMar>
    </w:tblPr>
  </w:style>
  <w:style w:type="paragraph" w:styleId="5">
    <w:name w:val="Balloon Text"/>
    <w:basedOn w:val="1"/>
    <w:link w:val="20"/>
    <w:unhideWhenUsed/>
    <w:qFormat/>
    <w:uiPriority w:val="99"/>
    <w:rPr>
      <w:sz w:val="18"/>
      <w:szCs w:val="18"/>
    </w:rPr>
  </w:style>
  <w:style w:type="paragraph" w:styleId="6">
    <w:name w:val="footer"/>
    <w:basedOn w:val="1"/>
    <w:link w:val="17"/>
    <w:unhideWhenUsed/>
    <w:qFormat/>
    <w:uiPriority w:val="99"/>
    <w:pPr>
      <w:tabs>
        <w:tab w:val="center" w:pos="4153"/>
        <w:tab w:val="right" w:pos="8306"/>
      </w:tabs>
      <w:snapToGrid w:val="0"/>
      <w:jc w:val="left"/>
    </w:pPr>
    <w:rPr>
      <w:sz w:val="18"/>
      <w:szCs w:val="18"/>
    </w:rPr>
  </w:style>
  <w:style w:type="paragraph" w:styleId="7">
    <w:name w:val="header"/>
    <w:basedOn w:val="1"/>
    <w:link w:val="16"/>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10">
    <w:name w:val="Strong"/>
    <w:basedOn w:val="9"/>
    <w:qFormat/>
    <w:uiPriority w:val="0"/>
    <w:rPr>
      <w:b/>
      <w:bCs/>
    </w:rPr>
  </w:style>
  <w:style w:type="character" w:styleId="11">
    <w:name w:val="FollowedHyperlink"/>
    <w:basedOn w:val="9"/>
    <w:unhideWhenUsed/>
    <w:qFormat/>
    <w:uiPriority w:val="99"/>
    <w:rPr>
      <w:color w:val="800080" w:themeColor="followedHyperlink"/>
      <w:u w:val="single"/>
    </w:rPr>
  </w:style>
  <w:style w:type="character" w:styleId="12">
    <w:name w:val="Hyperlink"/>
    <w:basedOn w:val="9"/>
    <w:unhideWhenUsed/>
    <w:qFormat/>
    <w:uiPriority w:val="99"/>
    <w:rPr>
      <w:color w:val="0000FF"/>
      <w:u w:val="single"/>
    </w:rPr>
  </w:style>
  <w:style w:type="character" w:customStyle="1" w:styleId="14">
    <w:name w:val="标题 3 Char"/>
    <w:basedOn w:val="9"/>
    <w:link w:val="4"/>
    <w:qFormat/>
    <w:uiPriority w:val="9"/>
    <w:rPr>
      <w:rFonts w:ascii="宋体" w:hAnsi="宋体" w:eastAsia="宋体" w:cs="宋体"/>
      <w:b/>
      <w:bCs/>
      <w:kern w:val="0"/>
      <w:sz w:val="27"/>
      <w:szCs w:val="27"/>
    </w:rPr>
  </w:style>
  <w:style w:type="character" w:customStyle="1" w:styleId="15">
    <w:name w:val="apple-converted-space"/>
    <w:basedOn w:val="9"/>
    <w:qFormat/>
    <w:uiPriority w:val="0"/>
  </w:style>
  <w:style w:type="character" w:customStyle="1" w:styleId="16">
    <w:name w:val="页眉 Char"/>
    <w:basedOn w:val="9"/>
    <w:link w:val="7"/>
    <w:semiHidden/>
    <w:qFormat/>
    <w:uiPriority w:val="99"/>
    <w:rPr>
      <w:sz w:val="18"/>
      <w:szCs w:val="18"/>
    </w:rPr>
  </w:style>
  <w:style w:type="character" w:customStyle="1" w:styleId="17">
    <w:name w:val="页脚 Char"/>
    <w:basedOn w:val="9"/>
    <w:link w:val="6"/>
    <w:qFormat/>
    <w:uiPriority w:val="99"/>
    <w:rPr>
      <w:sz w:val="18"/>
      <w:szCs w:val="18"/>
    </w:rPr>
  </w:style>
  <w:style w:type="character" w:customStyle="1" w:styleId="18">
    <w:name w:val="标题 1 Char"/>
    <w:basedOn w:val="9"/>
    <w:link w:val="2"/>
    <w:qFormat/>
    <w:uiPriority w:val="9"/>
    <w:rPr>
      <w:b/>
      <w:bCs/>
      <w:kern w:val="44"/>
      <w:sz w:val="44"/>
      <w:szCs w:val="44"/>
    </w:rPr>
  </w:style>
  <w:style w:type="character" w:customStyle="1" w:styleId="19">
    <w:name w:val="标题 2 Char"/>
    <w:basedOn w:val="9"/>
    <w:link w:val="3"/>
    <w:qFormat/>
    <w:uiPriority w:val="9"/>
    <w:rPr>
      <w:rFonts w:eastAsia="方正小标宋简体" w:asciiTheme="majorHAnsi" w:hAnsiTheme="majorHAnsi" w:cstheme="majorBidi"/>
      <w:bCs/>
      <w:sz w:val="32"/>
      <w:szCs w:val="32"/>
    </w:rPr>
  </w:style>
  <w:style w:type="character" w:customStyle="1" w:styleId="20">
    <w:name w:val="批注框文本 Char"/>
    <w:basedOn w:val="9"/>
    <w:link w:val="5"/>
    <w:semiHidden/>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WwW.YlmF.CoM</Company>
  <Pages>11</Pages>
  <Words>789</Words>
  <Characters>4501</Characters>
  <Lines>37</Lines>
  <Paragraphs>10</Paragraphs>
  <TotalTime>0</TotalTime>
  <ScaleCrop>false</ScaleCrop>
  <LinksUpToDate>false</LinksUpToDate>
  <CharactersWithSpaces>5280</CharactersWithSpaces>
  <Application>WPS Office_10.1.0.7223_F1E327BC-269C-435d-A152-05C5408002CA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2018-04-12T09:03:00Z</dcterms:created>
  <dc:creator>卢建华</dc:creator>
  <cp:lastModifiedBy>Administrator</cp:lastModifiedBy>
  <cp:lastPrinted>2018-04-20T02:35:00Z</cp:lastPrinted>
  <dcterms:modified xsi:type="dcterms:W3CDTF">2018-04-25T01:30:20Z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2052-10.1.0.7223</vt:lpwstr>
  </property>
</Properties>
</file>